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CE26" w14:textId="77777777" w:rsidR="00650FAB" w:rsidRDefault="00E96103">
      <w:pPr>
        <w:tabs>
          <w:tab w:val="left" w:pos="5898"/>
        </w:tabs>
        <w:spacing w:before="180"/>
        <w:ind w:left="1963"/>
        <w:rPr>
          <w:rFonts w:ascii="Perpetua"/>
          <w:b/>
          <w:sz w:val="24"/>
        </w:rPr>
      </w:pPr>
      <w:r>
        <w:rPr>
          <w:rFonts w:ascii="Perpetua"/>
          <w:b/>
          <w:noProof/>
          <w:sz w:val="24"/>
        </w:rPr>
        <mc:AlternateContent>
          <mc:Choice Requires="wpg">
            <w:drawing>
              <wp:anchor distT="0" distB="0" distL="0" distR="0" simplePos="0" relativeHeight="487545856" behindDoc="1" locked="0" layoutInCell="1" allowOverlap="1" wp14:anchorId="66FF423B" wp14:editId="699CC4BF">
                <wp:simplePos x="0" y="0"/>
                <wp:positionH relativeFrom="page">
                  <wp:posOffset>658365</wp:posOffset>
                </wp:positionH>
                <wp:positionV relativeFrom="page">
                  <wp:posOffset>682756</wp:posOffset>
                </wp:positionV>
                <wp:extent cx="6840855" cy="10852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855" cy="1085215"/>
                          <a:chOff x="0" y="0"/>
                          <a:chExt cx="6840855" cy="1085215"/>
                        </a:xfrm>
                      </wpg:grpSpPr>
                      <pic:pic xmlns:pic="http://schemas.openxmlformats.org/drawingml/2006/picture">
                        <pic:nvPicPr>
                          <pic:cNvPr id="2" name="Image 2"/>
                          <pic:cNvPicPr/>
                        </pic:nvPicPr>
                        <pic:blipFill>
                          <a:blip r:embed="rId5" cstate="print"/>
                          <a:stretch>
                            <a:fillRect/>
                          </a:stretch>
                        </pic:blipFill>
                        <pic:spPr>
                          <a:xfrm>
                            <a:off x="0" y="0"/>
                            <a:ext cx="1002670" cy="1085203"/>
                          </a:xfrm>
                          <a:prstGeom prst="rect">
                            <a:avLst/>
                          </a:prstGeom>
                        </pic:spPr>
                      </pic:pic>
                      <wps:wsp>
                        <wps:cNvPr id="3" name="Graphic 3"/>
                        <wps:cNvSpPr/>
                        <wps:spPr>
                          <a:xfrm>
                            <a:off x="949454" y="71623"/>
                            <a:ext cx="5886450" cy="323850"/>
                          </a:xfrm>
                          <a:custGeom>
                            <a:avLst/>
                            <a:gdLst/>
                            <a:ahLst/>
                            <a:cxnLst/>
                            <a:rect l="l" t="t" r="r" b="b"/>
                            <a:pathLst>
                              <a:path w="5886450" h="323850">
                                <a:moveTo>
                                  <a:pt x="0" y="323850"/>
                                </a:moveTo>
                                <a:lnTo>
                                  <a:pt x="5886450" y="323850"/>
                                </a:lnTo>
                                <a:lnTo>
                                  <a:pt x="5886450" y="0"/>
                                </a:lnTo>
                                <a:lnTo>
                                  <a:pt x="0" y="0"/>
                                </a:lnTo>
                                <a:lnTo>
                                  <a:pt x="0" y="323850"/>
                                </a:lnTo>
                                <a:close/>
                              </a:path>
                            </a:pathLst>
                          </a:custGeom>
                          <a:ln w="9525">
                            <a:solidFill>
                              <a:srgbClr val="FFFFFF"/>
                            </a:solidFill>
                            <a:prstDash val="solid"/>
                          </a:ln>
                        </wps:spPr>
                        <wps:bodyPr wrap="square" lIns="0" tIns="0" rIns="0" bIns="0" rtlCol="0">
                          <a:prstTxWarp prst="textNoShape">
                            <a:avLst/>
                          </a:prstTxWarp>
                          <a:noAutofit/>
                        </wps:bodyPr>
                      </wps:wsp>
                      <wps:wsp>
                        <wps:cNvPr id="4" name="Graphic 4"/>
                        <wps:cNvSpPr/>
                        <wps:spPr>
                          <a:xfrm>
                            <a:off x="979934" y="395473"/>
                            <a:ext cx="5554980" cy="1270"/>
                          </a:xfrm>
                          <a:custGeom>
                            <a:avLst/>
                            <a:gdLst/>
                            <a:ahLst/>
                            <a:cxnLst/>
                            <a:rect l="l" t="t" r="r" b="b"/>
                            <a:pathLst>
                              <a:path w="5554980">
                                <a:moveTo>
                                  <a:pt x="0" y="0"/>
                                </a:moveTo>
                                <a:lnTo>
                                  <a:pt x="5554980"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435909" id="Group 1" o:spid="_x0000_s1026" style="position:absolute;margin-left:51.85pt;margin-top:53.75pt;width:538.65pt;height:85.45pt;z-index:-15770624;mso-wrap-distance-left:0;mso-wrap-distance-right:0;mso-position-horizontal-relative:page;mso-position-vertical-relative:page" coordsize="68408,10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026;height:10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">
                  <v:imagedata r:id="rId6" o:title=""/>
                </v:shape>
                <v:shape id="Graphic 3" o:spid="_x0000_s1028" style="position:absolute;left:9494;top:716;width:58865;height:3238;visibility:visible;mso-wrap-style:square;v-text-anchor:top" coordsize="58864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" path="m,323850r5886450,l5886450,,,,,323850xe" filled="f" strokecolor="white">
                  <v:path arrowok="t"/>
                </v:shape>
                <v:shape id="Graphic 4" o:spid="_x0000_s1029" style="position:absolute;left:9799;top:3954;width:55550;height:13;visibility:visible;mso-wrap-style:square;v-text-anchor:top" coordsize="5554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" path="m,l5554980,e" filled="f" strokeweight="1.5pt">
                  <v:path arrowok="t"/>
                </v:shape>
                <w10:wrap anchorx="page" anchory="page"/>
              </v:group>
            </w:pict>
          </mc:Fallback>
        </mc:AlternateContent>
      </w:r>
      <w:r>
        <w:rPr>
          <w:rFonts w:ascii="Perpetua"/>
          <w:b/>
          <w:sz w:val="36"/>
        </w:rPr>
        <w:t>STATE</w:t>
      </w:r>
      <w:r>
        <w:rPr>
          <w:rFonts w:ascii="Perpetua"/>
          <w:b/>
          <w:spacing w:val="-1"/>
          <w:sz w:val="36"/>
        </w:rPr>
        <w:t xml:space="preserve"> </w:t>
      </w:r>
      <w:r>
        <w:rPr>
          <w:rFonts w:ascii="Perpetua"/>
          <w:b/>
          <w:sz w:val="36"/>
        </w:rPr>
        <w:t xml:space="preserve">OF </w:t>
      </w:r>
      <w:r>
        <w:rPr>
          <w:rFonts w:ascii="Perpetua"/>
          <w:b/>
          <w:spacing w:val="-2"/>
          <w:sz w:val="36"/>
        </w:rPr>
        <w:t>INDIANA</w:t>
      </w:r>
      <w:r>
        <w:rPr>
          <w:rFonts w:ascii="Perpetua"/>
          <w:b/>
          <w:sz w:val="36"/>
        </w:rPr>
        <w:tab/>
      </w:r>
      <w:r>
        <w:rPr>
          <w:rFonts w:ascii="Perpetua"/>
          <w:b/>
          <w:sz w:val="24"/>
        </w:rPr>
        <w:t>DEPARTMENT</w:t>
      </w:r>
      <w:r>
        <w:rPr>
          <w:rFonts w:ascii="Perpetua"/>
          <w:b/>
          <w:spacing w:val="-5"/>
          <w:sz w:val="24"/>
        </w:rPr>
        <w:t xml:space="preserve"> </w:t>
      </w:r>
      <w:r>
        <w:rPr>
          <w:rFonts w:ascii="Perpetua"/>
          <w:b/>
          <w:sz w:val="24"/>
        </w:rPr>
        <w:t>OF</w:t>
      </w:r>
      <w:r>
        <w:rPr>
          <w:rFonts w:ascii="Perpetua"/>
          <w:b/>
          <w:spacing w:val="-1"/>
          <w:sz w:val="24"/>
        </w:rPr>
        <w:t xml:space="preserve"> </w:t>
      </w:r>
      <w:r>
        <w:rPr>
          <w:rFonts w:ascii="Perpetua"/>
          <w:b/>
          <w:sz w:val="24"/>
        </w:rPr>
        <w:t>FINANCIAL</w:t>
      </w:r>
      <w:r>
        <w:rPr>
          <w:rFonts w:ascii="Perpetua"/>
          <w:b/>
          <w:spacing w:val="-4"/>
          <w:sz w:val="24"/>
        </w:rPr>
        <w:t xml:space="preserve"> </w:t>
      </w:r>
      <w:r>
        <w:rPr>
          <w:rFonts w:ascii="Perpetua"/>
          <w:b/>
          <w:spacing w:val="-2"/>
          <w:sz w:val="24"/>
        </w:rPr>
        <w:t>INSTITUTIONS</w:t>
      </w:r>
    </w:p>
    <w:p w14:paraId="6AE7598D" w14:textId="77777777" w:rsidR="00650FAB" w:rsidRDefault="00E96103">
      <w:pPr>
        <w:spacing w:before="99" w:line="197" w:lineRule="exact"/>
        <w:ind w:right="173"/>
        <w:jc w:val="right"/>
        <w:rPr>
          <w:rFonts w:ascii="Copperplate Gothic Light"/>
          <w:sz w:val="18"/>
        </w:rPr>
      </w:pPr>
      <w:r>
        <w:rPr>
          <w:rFonts w:ascii="Copperplate Gothic Light"/>
          <w:sz w:val="18"/>
        </w:rPr>
        <w:t>30</w:t>
      </w:r>
      <w:r>
        <w:rPr>
          <w:rFonts w:ascii="Copperplate Gothic Light"/>
          <w:spacing w:val="-3"/>
          <w:sz w:val="18"/>
        </w:rPr>
        <w:t xml:space="preserve"> </w:t>
      </w:r>
      <w:r>
        <w:rPr>
          <w:rFonts w:ascii="Copperplate Gothic Light"/>
          <w:sz w:val="18"/>
        </w:rPr>
        <w:t>South</w:t>
      </w:r>
      <w:r>
        <w:rPr>
          <w:rFonts w:ascii="Copperplate Gothic Light"/>
          <w:spacing w:val="-2"/>
          <w:sz w:val="18"/>
        </w:rPr>
        <w:t xml:space="preserve"> </w:t>
      </w:r>
      <w:r>
        <w:rPr>
          <w:rFonts w:ascii="Copperplate Gothic Light"/>
          <w:sz w:val="18"/>
        </w:rPr>
        <w:t>Meridian</w:t>
      </w:r>
      <w:r>
        <w:rPr>
          <w:rFonts w:ascii="Copperplate Gothic Light"/>
          <w:spacing w:val="-2"/>
          <w:sz w:val="18"/>
        </w:rPr>
        <w:t xml:space="preserve"> </w:t>
      </w:r>
      <w:r>
        <w:rPr>
          <w:rFonts w:ascii="Copperplate Gothic Light"/>
          <w:spacing w:val="-5"/>
          <w:sz w:val="18"/>
        </w:rPr>
        <w:t>St.</w:t>
      </w:r>
    </w:p>
    <w:p w14:paraId="48635695" w14:textId="77777777" w:rsidR="00650FAB" w:rsidRDefault="00E96103">
      <w:pPr>
        <w:ind w:left="8639" w:right="171" w:firstLine="1046"/>
        <w:jc w:val="right"/>
        <w:rPr>
          <w:rFonts w:ascii="Copperplate Gothic Light"/>
          <w:sz w:val="18"/>
        </w:rPr>
      </w:pPr>
      <w:r>
        <w:rPr>
          <w:rFonts w:ascii="Copperplate Gothic Light"/>
          <w:sz w:val="18"/>
        </w:rPr>
        <w:t>Suite</w:t>
      </w:r>
      <w:r>
        <w:rPr>
          <w:rFonts w:ascii="Copperplate Gothic Light"/>
          <w:spacing w:val="-12"/>
          <w:sz w:val="18"/>
        </w:rPr>
        <w:t xml:space="preserve"> </w:t>
      </w:r>
      <w:r>
        <w:rPr>
          <w:rFonts w:ascii="Copperplate Gothic Light"/>
          <w:sz w:val="18"/>
        </w:rPr>
        <w:t>200 Indianapolis,</w:t>
      </w:r>
      <w:r>
        <w:rPr>
          <w:rFonts w:ascii="Copperplate Gothic Light"/>
          <w:spacing w:val="-5"/>
          <w:sz w:val="18"/>
        </w:rPr>
        <w:t xml:space="preserve"> </w:t>
      </w:r>
      <w:r>
        <w:rPr>
          <w:rFonts w:ascii="Copperplate Gothic Light"/>
          <w:spacing w:val="-2"/>
          <w:sz w:val="18"/>
        </w:rPr>
        <w:t>Indiana</w:t>
      </w:r>
    </w:p>
    <w:p w14:paraId="25FD5C62" w14:textId="77777777" w:rsidR="00650FAB" w:rsidRDefault="00E96103">
      <w:pPr>
        <w:spacing w:line="197" w:lineRule="exact"/>
        <w:ind w:right="173"/>
        <w:jc w:val="right"/>
        <w:rPr>
          <w:rFonts w:ascii="Copperplate Gothic Light"/>
          <w:sz w:val="18"/>
        </w:rPr>
      </w:pPr>
      <w:r>
        <w:rPr>
          <w:rFonts w:ascii="Copperplate Gothic Light"/>
          <w:spacing w:val="-2"/>
          <w:sz w:val="18"/>
        </w:rPr>
        <w:t>46204-</w:t>
      </w:r>
      <w:r>
        <w:rPr>
          <w:rFonts w:ascii="Copperplate Gothic Light"/>
          <w:spacing w:val="-4"/>
          <w:sz w:val="18"/>
        </w:rPr>
        <w:t>2759</w:t>
      </w:r>
    </w:p>
    <w:p w14:paraId="03CDF5AB" w14:textId="77777777" w:rsidR="00650FAB" w:rsidRDefault="00E96103">
      <w:pPr>
        <w:spacing w:line="197" w:lineRule="exact"/>
        <w:ind w:right="171"/>
        <w:jc w:val="right"/>
        <w:rPr>
          <w:rFonts w:ascii="Copperplate Gothic Light"/>
          <w:sz w:val="18"/>
        </w:rPr>
      </w:pPr>
      <w:r>
        <w:rPr>
          <w:rFonts w:ascii="Copperplate Gothic Light"/>
          <w:sz w:val="18"/>
        </w:rPr>
        <w:t>(317)</w:t>
      </w:r>
      <w:r>
        <w:rPr>
          <w:rFonts w:ascii="Copperplate Gothic Light"/>
          <w:spacing w:val="-1"/>
          <w:sz w:val="18"/>
        </w:rPr>
        <w:t xml:space="preserve"> </w:t>
      </w:r>
      <w:r>
        <w:rPr>
          <w:rFonts w:ascii="Copperplate Gothic Light"/>
          <w:sz w:val="18"/>
        </w:rPr>
        <w:t>232-</w:t>
      </w:r>
      <w:r>
        <w:rPr>
          <w:rFonts w:ascii="Copperplate Gothic Light"/>
          <w:spacing w:val="-4"/>
          <w:sz w:val="18"/>
        </w:rPr>
        <w:t>3955</w:t>
      </w:r>
    </w:p>
    <w:p w14:paraId="0F566157" w14:textId="77777777" w:rsidR="00650FAB" w:rsidRDefault="00E96103">
      <w:pPr>
        <w:spacing w:before="1" w:line="197" w:lineRule="exact"/>
        <w:ind w:right="171"/>
        <w:jc w:val="right"/>
        <w:rPr>
          <w:rFonts w:ascii="Copperplate Gothic Light"/>
          <w:sz w:val="18"/>
        </w:rPr>
      </w:pPr>
      <w:r>
        <w:rPr>
          <w:rFonts w:ascii="Copperplate Gothic Light"/>
          <w:sz w:val="18"/>
        </w:rPr>
        <w:t>(800)</w:t>
      </w:r>
      <w:r>
        <w:rPr>
          <w:rFonts w:ascii="Copperplate Gothic Light"/>
          <w:spacing w:val="-1"/>
          <w:sz w:val="18"/>
        </w:rPr>
        <w:t xml:space="preserve"> </w:t>
      </w:r>
      <w:r>
        <w:rPr>
          <w:rFonts w:ascii="Copperplate Gothic Light"/>
          <w:sz w:val="18"/>
        </w:rPr>
        <w:t>382-</w:t>
      </w:r>
      <w:r>
        <w:rPr>
          <w:rFonts w:ascii="Copperplate Gothic Light"/>
          <w:spacing w:val="-4"/>
          <w:sz w:val="18"/>
        </w:rPr>
        <w:t>4880</w:t>
      </w:r>
    </w:p>
    <w:p w14:paraId="7FE0ED44" w14:textId="77777777" w:rsidR="00650FAB" w:rsidRDefault="00E96103" w:rsidP="00DC1B6E">
      <w:pPr>
        <w:ind w:right="173"/>
        <w:jc w:val="right"/>
        <w:rPr>
          <w:rFonts w:ascii="Copperplate Gothic Light"/>
          <w:sz w:val="18"/>
        </w:rPr>
      </w:pPr>
      <w:hyperlink r:id="rId7">
        <w:r>
          <w:rPr>
            <w:rFonts w:ascii="Copperplate Gothic Light"/>
            <w:spacing w:val="-2"/>
            <w:sz w:val="18"/>
          </w:rPr>
          <w:t>www.in.gov/dfi</w:t>
        </w:r>
      </w:hyperlink>
    </w:p>
    <w:p w14:paraId="72FB3F6A" w14:textId="3E82675E" w:rsidR="00650FAB" w:rsidRDefault="00E96103" w:rsidP="00DC1B6E">
      <w:pPr>
        <w:pStyle w:val="Heading1"/>
        <w:ind w:left="2357" w:right="2320" w:firstLine="912"/>
        <w:jc w:val="left"/>
        <w:rPr>
          <w:u w:val="none"/>
        </w:rPr>
      </w:pPr>
      <w:r>
        <w:rPr>
          <w:u w:val="none"/>
        </w:rPr>
        <w:t>Department of Financial</w:t>
      </w:r>
      <w:r>
        <w:rPr>
          <w:spacing w:val="40"/>
          <w:u w:val="none"/>
        </w:rPr>
        <w:t xml:space="preserve"> </w:t>
      </w:r>
      <w:r>
        <w:rPr>
          <w:u w:val="none"/>
        </w:rPr>
        <w:t>Institutions 202</w:t>
      </w:r>
      <w:r w:rsidR="00B56BF1">
        <w:rPr>
          <w:u w:val="none"/>
        </w:rPr>
        <w:t>5</w:t>
      </w:r>
      <w:r>
        <w:rPr>
          <w:spacing w:val="80"/>
          <w:u w:val="none"/>
        </w:rPr>
        <w:t xml:space="preserve"> </w:t>
      </w:r>
      <w:r>
        <w:t>Indiana</w:t>
      </w:r>
      <w:r>
        <w:rPr>
          <w:spacing w:val="-9"/>
        </w:rPr>
        <w:t xml:space="preserve"> </w:t>
      </w:r>
      <w:r>
        <w:t>General</w:t>
      </w:r>
      <w:r>
        <w:rPr>
          <w:spacing w:val="-6"/>
        </w:rPr>
        <w:t xml:space="preserve"> </w:t>
      </w:r>
      <w:r>
        <w:t>Assembly</w:t>
      </w:r>
      <w:r>
        <w:rPr>
          <w:spacing w:val="-6"/>
        </w:rPr>
        <w:t xml:space="preserve"> </w:t>
      </w:r>
      <w:r>
        <w:t>Legislation</w:t>
      </w:r>
      <w:r>
        <w:rPr>
          <w:spacing w:val="-6"/>
        </w:rPr>
        <w:t xml:space="preserve"> </w:t>
      </w:r>
      <w:r>
        <w:t>of</w:t>
      </w:r>
      <w:r>
        <w:rPr>
          <w:spacing w:val="-6"/>
        </w:rPr>
        <w:t xml:space="preserve"> </w:t>
      </w:r>
      <w:r>
        <w:t>Interest</w:t>
      </w:r>
      <w:r>
        <w:rPr>
          <w:spacing w:val="-6"/>
        </w:rPr>
        <w:t xml:space="preserve"> </w:t>
      </w:r>
      <w:r>
        <w:t>Summary</w:t>
      </w:r>
    </w:p>
    <w:p w14:paraId="192A010D" w14:textId="77777777" w:rsidR="00DC1B6E" w:rsidRDefault="00DC1B6E" w:rsidP="00DC1B6E">
      <w:pPr>
        <w:pStyle w:val="BodyText"/>
        <w:ind w:left="287" w:right="254"/>
        <w:jc w:val="both"/>
      </w:pPr>
    </w:p>
    <w:p w14:paraId="2BBCAD23" w14:textId="3D9D66F6" w:rsidR="00650FAB" w:rsidRDefault="00E96103" w:rsidP="00DC1B6E">
      <w:pPr>
        <w:pStyle w:val="BodyText"/>
        <w:ind w:left="287" w:right="254"/>
        <w:jc w:val="both"/>
      </w:pPr>
      <w:r>
        <w:t>The following is a summary of legislation adopted by the 202</w:t>
      </w:r>
      <w:r w:rsidR="00B56BF1">
        <w:t>5</w:t>
      </w:r>
      <w:r>
        <w:t xml:space="preserve"> Indiana General Assembly which may interest the Indiana Department of Financial Institutions (“DFI”), its constituencies, staff, and Members. For additional information regarding any bill, the complete list of all legislation enacted or considered by the 202</w:t>
      </w:r>
      <w:r w:rsidR="008D540B">
        <w:t>5</w:t>
      </w:r>
      <w:r>
        <w:t xml:space="preserve"> Indiana General Assembly may be found </w:t>
      </w:r>
      <w:hyperlink r:id="rId8">
        <w:r>
          <w:rPr>
            <w:color w:val="0000FF"/>
          </w:rPr>
          <w:t>here</w:t>
        </w:r>
      </w:hyperlink>
      <w:r>
        <w:t>.</w:t>
      </w:r>
    </w:p>
    <w:p w14:paraId="004AD349" w14:textId="77777777" w:rsidR="00650FAB" w:rsidRDefault="00650FAB" w:rsidP="00DC1B6E">
      <w:pPr>
        <w:pStyle w:val="BodyText"/>
      </w:pPr>
    </w:p>
    <w:p w14:paraId="51985A81" w14:textId="717B5B3D" w:rsidR="00650FAB" w:rsidRDefault="00E96103" w:rsidP="00DC1B6E">
      <w:pPr>
        <w:pStyle w:val="BodyText"/>
        <w:ind w:left="287" w:right="254"/>
        <w:jc w:val="both"/>
      </w:pPr>
      <w:r>
        <w:t xml:space="preserve">On </w:t>
      </w:r>
      <w:r w:rsidR="00432B6D">
        <w:t>May 6, 2025</w:t>
      </w:r>
      <w:r>
        <w:t xml:space="preserve">, Governor Holcomb signed SEA </w:t>
      </w:r>
      <w:r w:rsidR="009C14CB">
        <w:t>464</w:t>
      </w:r>
      <w:r>
        <w:t>, the financial institutions and consumer credit bill, authored by Senators Bassle</w:t>
      </w:r>
      <w:r w:rsidR="003026F0">
        <w:t>r, Baldwin, and Gaskill</w:t>
      </w:r>
      <w:r w:rsidR="00432B6D">
        <w:t xml:space="preserve"> </w:t>
      </w:r>
      <w:r>
        <w:t xml:space="preserve">and sponsored by Representatives Teshka and </w:t>
      </w:r>
      <w:r w:rsidR="002A3AED">
        <w:t>Andrade</w:t>
      </w:r>
      <w:r>
        <w:t>, into law.</w:t>
      </w:r>
      <w:r>
        <w:rPr>
          <w:spacing w:val="40"/>
        </w:rPr>
        <w:t xml:space="preserve"> </w:t>
      </w:r>
      <w:r>
        <w:t>The bill includes updated references to federal and state laws and modernization efforts.</w:t>
      </w:r>
      <w:r>
        <w:rPr>
          <w:spacing w:val="40"/>
        </w:rPr>
        <w:t xml:space="preserve"> </w:t>
      </w:r>
      <w:r>
        <w:t xml:space="preserve">SEA </w:t>
      </w:r>
      <w:r w:rsidR="00432B6D">
        <w:t>464</w:t>
      </w:r>
      <w:r>
        <w:t xml:space="preserve"> is effective on July 1, 202</w:t>
      </w:r>
      <w:r w:rsidR="00981CB4">
        <w:t>5</w:t>
      </w:r>
      <w:r>
        <w:t>.</w:t>
      </w:r>
    </w:p>
    <w:p w14:paraId="5CD4EF8A" w14:textId="77777777" w:rsidR="00650FAB" w:rsidRDefault="00650FAB" w:rsidP="00DC1B6E">
      <w:pPr>
        <w:pStyle w:val="BodyText"/>
      </w:pPr>
    </w:p>
    <w:p w14:paraId="6FF65FD7" w14:textId="4BE64FC6" w:rsidR="00650FAB" w:rsidRDefault="00E96103" w:rsidP="00DC1B6E">
      <w:pPr>
        <w:pStyle w:val="BodyText"/>
        <w:ind w:left="287" w:right="249"/>
        <w:jc w:val="both"/>
      </w:pPr>
      <w:r>
        <w:rPr>
          <w:color w:val="0D0F1A"/>
        </w:rPr>
        <w:t xml:space="preserve">The </w:t>
      </w:r>
      <w:r w:rsidR="00432B6D">
        <w:rPr>
          <w:color w:val="0D0F1A"/>
        </w:rPr>
        <w:t>summary below</w:t>
      </w:r>
      <w:r>
        <w:rPr>
          <w:color w:val="0D0F1A"/>
        </w:rPr>
        <w:t xml:space="preserve"> is not an exhaustive review of the bills, and interested parties are encouraged to review all provisions of the legislation and the newly enacted statutes in greater detail. While this publication intends to provide DFI-regulated industries, trade associations, attorneys, and the public with an overview of recently enacted legislation over which the DFI has regulatory and administrative authority, businesses are encouraged to seek legal counsel with questions regarding how the new laws</w:t>
      </w:r>
      <w:r>
        <w:rPr>
          <w:color w:val="0D0F1A"/>
          <w:spacing w:val="80"/>
        </w:rPr>
        <w:t xml:space="preserve"> </w:t>
      </w:r>
      <w:r>
        <w:rPr>
          <w:color w:val="0D0F1A"/>
        </w:rPr>
        <w:t>may impact a particular business model or product.</w:t>
      </w:r>
    </w:p>
    <w:p w14:paraId="59C7ABB9" w14:textId="77777777" w:rsidR="00650FAB" w:rsidRDefault="00650FAB" w:rsidP="00DC1B6E">
      <w:pPr>
        <w:pStyle w:val="BodyText"/>
      </w:pPr>
    </w:p>
    <w:p w14:paraId="5C13B258" w14:textId="512E65D0" w:rsidR="00650FAB" w:rsidRDefault="00E96103" w:rsidP="00DC1B6E">
      <w:pPr>
        <w:pStyle w:val="Heading1"/>
        <w:rPr>
          <w:u w:val="none"/>
        </w:rPr>
      </w:pPr>
      <w:r>
        <w:t>Summary</w:t>
      </w:r>
      <w:r>
        <w:rPr>
          <w:spacing w:val="-1"/>
        </w:rPr>
        <w:t xml:space="preserve"> </w:t>
      </w:r>
      <w:r>
        <w:t xml:space="preserve">of SEA </w:t>
      </w:r>
      <w:r w:rsidR="004A200B">
        <w:t>464</w:t>
      </w:r>
      <w:r>
        <w:rPr>
          <w:spacing w:val="-1"/>
        </w:rPr>
        <w:t xml:space="preserve"> </w:t>
      </w:r>
      <w:r>
        <w:t>–</w:t>
      </w:r>
      <w:r>
        <w:rPr>
          <w:spacing w:val="-3"/>
        </w:rPr>
        <w:t xml:space="preserve"> </w:t>
      </w:r>
      <w:r>
        <w:t xml:space="preserve">DFI Omnibus </w:t>
      </w:r>
      <w:r>
        <w:rPr>
          <w:spacing w:val="-4"/>
        </w:rPr>
        <w:t>Bill</w:t>
      </w:r>
    </w:p>
    <w:p w14:paraId="7AADC783" w14:textId="31997B04" w:rsidR="00650FAB" w:rsidRDefault="00E96103" w:rsidP="00DC1B6E">
      <w:pPr>
        <w:pStyle w:val="ListParagraph"/>
        <w:numPr>
          <w:ilvl w:val="0"/>
          <w:numId w:val="2"/>
        </w:numPr>
        <w:tabs>
          <w:tab w:val="left" w:pos="648"/>
        </w:tabs>
        <w:ind w:right="252"/>
        <w:rPr>
          <w:color w:val="0D0F1A"/>
          <w:sz w:val="24"/>
        </w:rPr>
      </w:pPr>
      <w:r>
        <w:rPr>
          <w:color w:val="0D0F1A"/>
          <w:sz w:val="24"/>
        </w:rPr>
        <w:t>Miscellaneous - Federal law reference update.</w:t>
      </w:r>
      <w:r>
        <w:rPr>
          <w:color w:val="0D0F1A"/>
          <w:spacing w:val="40"/>
          <w:sz w:val="24"/>
        </w:rPr>
        <w:t xml:space="preserve"> </w:t>
      </w:r>
      <w:r>
        <w:rPr>
          <w:color w:val="0D0F1A"/>
          <w:sz w:val="24"/>
        </w:rPr>
        <w:t xml:space="preserve">The first provision of SEA </w:t>
      </w:r>
      <w:r w:rsidR="00694141">
        <w:rPr>
          <w:color w:val="0D0F1A"/>
          <w:sz w:val="24"/>
        </w:rPr>
        <w:t>464</w:t>
      </w:r>
      <w:r>
        <w:rPr>
          <w:color w:val="0D0F1A"/>
          <w:sz w:val="24"/>
        </w:rPr>
        <w:t xml:space="preserve"> updates the federal law that is applicable when referenced in state law.</w:t>
      </w:r>
      <w:r>
        <w:rPr>
          <w:color w:val="0D0F1A"/>
          <w:spacing w:val="40"/>
          <w:sz w:val="24"/>
        </w:rPr>
        <w:t xml:space="preserve"> </w:t>
      </w:r>
      <w:r>
        <w:rPr>
          <w:color w:val="0D0F1A"/>
          <w:sz w:val="24"/>
        </w:rPr>
        <w:t>This is in the DFI bill every year.</w:t>
      </w:r>
    </w:p>
    <w:p w14:paraId="77CBDBDB" w14:textId="77777777" w:rsidR="00650FAB" w:rsidRDefault="00650FAB" w:rsidP="00DC1B6E">
      <w:pPr>
        <w:pStyle w:val="BodyText"/>
      </w:pPr>
    </w:p>
    <w:p w14:paraId="62BE56B8" w14:textId="77777777" w:rsidR="00650FAB" w:rsidRDefault="00E96103" w:rsidP="00DC1B6E">
      <w:pPr>
        <w:pStyle w:val="ListParagraph"/>
        <w:numPr>
          <w:ilvl w:val="1"/>
          <w:numId w:val="2"/>
        </w:numPr>
        <w:tabs>
          <w:tab w:val="left" w:pos="1008"/>
        </w:tabs>
        <w:jc w:val="left"/>
        <w:rPr>
          <w:rFonts w:ascii="Symbol" w:hAnsi="Symbol"/>
          <w:color w:val="0D0F1A"/>
          <w:sz w:val="24"/>
        </w:rPr>
      </w:pPr>
      <w:r>
        <w:rPr>
          <w:color w:val="0D0F1A"/>
          <w:sz w:val="24"/>
        </w:rPr>
        <w:t>Applies</w:t>
      </w:r>
      <w:r>
        <w:rPr>
          <w:color w:val="0D0F1A"/>
          <w:spacing w:val="-1"/>
          <w:sz w:val="24"/>
        </w:rPr>
        <w:t xml:space="preserve"> </w:t>
      </w:r>
      <w:proofErr w:type="gramStart"/>
      <w:r>
        <w:rPr>
          <w:color w:val="0D0F1A"/>
          <w:sz w:val="24"/>
        </w:rPr>
        <w:t>to:</w:t>
      </w:r>
      <w:proofErr w:type="gramEnd"/>
      <w:r>
        <w:rPr>
          <w:color w:val="0D0F1A"/>
          <w:sz w:val="24"/>
        </w:rPr>
        <w:t xml:space="preserve"> portions of Title</w:t>
      </w:r>
      <w:r>
        <w:rPr>
          <w:color w:val="0D0F1A"/>
          <w:spacing w:val="-1"/>
          <w:sz w:val="24"/>
        </w:rPr>
        <w:t xml:space="preserve"> </w:t>
      </w:r>
      <w:r>
        <w:rPr>
          <w:color w:val="0D0F1A"/>
          <w:sz w:val="24"/>
        </w:rPr>
        <w:t xml:space="preserve">24 and </w:t>
      </w:r>
      <w:r>
        <w:rPr>
          <w:color w:val="0D0F1A"/>
          <w:spacing w:val="-5"/>
          <w:sz w:val="24"/>
        </w:rPr>
        <w:t>28</w:t>
      </w:r>
    </w:p>
    <w:p w14:paraId="3D3CF71E" w14:textId="6E1CBD92" w:rsidR="00DC1B6E" w:rsidRPr="00DC1B6E" w:rsidRDefault="00E96103" w:rsidP="00DC1B6E">
      <w:pPr>
        <w:pStyle w:val="ListParagraph"/>
        <w:numPr>
          <w:ilvl w:val="1"/>
          <w:numId w:val="2"/>
        </w:numPr>
        <w:tabs>
          <w:tab w:val="left" w:pos="1008"/>
        </w:tabs>
        <w:jc w:val="left"/>
        <w:rPr>
          <w:rFonts w:ascii="Symbol" w:hAnsi="Symbol"/>
          <w:color w:val="0D0F1A"/>
          <w:sz w:val="24"/>
        </w:rPr>
      </w:pPr>
      <w:r>
        <w:rPr>
          <w:color w:val="0D0F1A"/>
          <w:sz w:val="24"/>
        </w:rPr>
        <w:t>Statutory</w:t>
      </w:r>
      <w:r>
        <w:rPr>
          <w:color w:val="0D0F1A"/>
          <w:spacing w:val="-5"/>
          <w:sz w:val="24"/>
        </w:rPr>
        <w:t xml:space="preserve"> </w:t>
      </w:r>
      <w:r>
        <w:rPr>
          <w:color w:val="0D0F1A"/>
          <w:sz w:val="24"/>
        </w:rPr>
        <w:t>references:</w:t>
      </w:r>
      <w:r>
        <w:rPr>
          <w:color w:val="0D0F1A"/>
          <w:spacing w:val="-1"/>
          <w:sz w:val="24"/>
        </w:rPr>
        <w:t xml:space="preserve"> </w:t>
      </w:r>
      <w:r>
        <w:rPr>
          <w:color w:val="0D0F1A"/>
          <w:sz w:val="24"/>
        </w:rPr>
        <w:t>I.C. 24-4.4,</w:t>
      </w:r>
      <w:r>
        <w:rPr>
          <w:color w:val="0D0F1A"/>
          <w:spacing w:val="-1"/>
          <w:sz w:val="24"/>
        </w:rPr>
        <w:t xml:space="preserve"> </w:t>
      </w:r>
      <w:r>
        <w:rPr>
          <w:color w:val="0D0F1A"/>
          <w:sz w:val="24"/>
        </w:rPr>
        <w:t>I.C.</w:t>
      </w:r>
      <w:r>
        <w:rPr>
          <w:color w:val="0D0F1A"/>
          <w:spacing w:val="-2"/>
          <w:sz w:val="24"/>
        </w:rPr>
        <w:t xml:space="preserve"> </w:t>
      </w:r>
      <w:r>
        <w:rPr>
          <w:color w:val="0D0F1A"/>
          <w:sz w:val="24"/>
        </w:rPr>
        <w:t>24-4.5,</w:t>
      </w:r>
      <w:r>
        <w:rPr>
          <w:color w:val="0D0F1A"/>
          <w:spacing w:val="-1"/>
          <w:sz w:val="24"/>
        </w:rPr>
        <w:t xml:space="preserve"> </w:t>
      </w:r>
      <w:r>
        <w:rPr>
          <w:color w:val="0D0F1A"/>
          <w:sz w:val="24"/>
        </w:rPr>
        <w:t>I.C. 28-</w:t>
      </w:r>
      <w:r>
        <w:rPr>
          <w:color w:val="0D0F1A"/>
          <w:spacing w:val="-5"/>
          <w:sz w:val="24"/>
        </w:rPr>
        <w:t>10</w:t>
      </w:r>
    </w:p>
    <w:p w14:paraId="4F789551" w14:textId="77777777" w:rsidR="00DC1B6E" w:rsidRPr="00DC1B6E" w:rsidRDefault="00DC1B6E" w:rsidP="00DC1B6E">
      <w:pPr>
        <w:pStyle w:val="ListParagraph"/>
        <w:tabs>
          <w:tab w:val="left" w:pos="1008"/>
        </w:tabs>
        <w:ind w:left="1008" w:firstLine="0"/>
        <w:jc w:val="left"/>
        <w:rPr>
          <w:rFonts w:ascii="Symbol" w:hAnsi="Symbol"/>
          <w:color w:val="0D0F1A"/>
          <w:sz w:val="24"/>
        </w:rPr>
      </w:pPr>
    </w:p>
    <w:p w14:paraId="2CBCACF5" w14:textId="7DD5F43D" w:rsidR="002942DF" w:rsidRPr="00DC1B6E" w:rsidRDefault="00476220" w:rsidP="00DC1B6E">
      <w:pPr>
        <w:pStyle w:val="NormalWeb"/>
        <w:numPr>
          <w:ilvl w:val="0"/>
          <w:numId w:val="2"/>
        </w:numPr>
        <w:spacing w:before="0" w:beforeAutospacing="0" w:after="0" w:afterAutospacing="0"/>
      </w:pPr>
      <w:r w:rsidRPr="00DC1B6E">
        <w:t xml:space="preserve">Clarification of the definition of “principal” for consumer loans. </w:t>
      </w:r>
      <w:r w:rsidR="002942DF" w:rsidRPr="00DC1B6E">
        <w:t xml:space="preserve">The act amends the </w:t>
      </w:r>
      <w:r w:rsidR="00E41E27">
        <w:t>I</w:t>
      </w:r>
      <w:r w:rsidR="002942DF" w:rsidRPr="00DC1B6E">
        <w:t xml:space="preserve">UCCC definition of </w:t>
      </w:r>
      <w:r w:rsidR="002942DF" w:rsidRPr="003D58C1">
        <w:rPr>
          <w:rStyle w:val="Strong"/>
          <w:b w:val="0"/>
          <w:bCs w:val="0"/>
        </w:rPr>
        <w:t>principal</w:t>
      </w:r>
      <w:r w:rsidR="002942DF" w:rsidRPr="00DC1B6E">
        <w:t xml:space="preserve"> to make clear that</w:t>
      </w:r>
      <w:r w:rsidR="00CF1522">
        <w:t xml:space="preserve"> the term does not include</w:t>
      </w:r>
      <w:r w:rsidR="002942DF" w:rsidRPr="00DC1B6E">
        <w:t xml:space="preserve"> </w:t>
      </w:r>
      <w:r w:rsidR="002942DF" w:rsidRPr="003D58C1">
        <w:rPr>
          <w:rStyle w:val="Strong"/>
          <w:b w:val="0"/>
          <w:bCs w:val="0"/>
        </w:rPr>
        <w:t xml:space="preserve">loan proceeds held </w:t>
      </w:r>
      <w:r w:rsidR="005623CF">
        <w:rPr>
          <w:rStyle w:val="Strong"/>
          <w:b w:val="0"/>
          <w:bCs w:val="0"/>
        </w:rPr>
        <w:t xml:space="preserve">by the issuer </w:t>
      </w:r>
      <w:r w:rsidR="002942DF" w:rsidRPr="003D58C1">
        <w:rPr>
          <w:rStyle w:val="Strong"/>
          <w:b w:val="0"/>
          <w:bCs w:val="0"/>
        </w:rPr>
        <w:t>as security</w:t>
      </w:r>
      <w:r w:rsidR="002942DF" w:rsidRPr="003D58C1">
        <w:t xml:space="preserve"> </w:t>
      </w:r>
      <w:r w:rsidR="00CF1522">
        <w:t>for the loan.</w:t>
      </w:r>
      <w:r w:rsidR="003F6E06">
        <w:t xml:space="preserve"> This, in </w:t>
      </w:r>
      <w:r w:rsidR="009D476A">
        <w:t xml:space="preserve">part, ensures that </w:t>
      </w:r>
      <w:r w:rsidR="002942DF" w:rsidRPr="00DC1B6E">
        <w:t xml:space="preserve">interest is assessed only on funds </w:t>
      </w:r>
      <w:proofErr w:type="gramStart"/>
      <w:r w:rsidR="002942DF" w:rsidRPr="00DC1B6E">
        <w:t>actually available</w:t>
      </w:r>
      <w:proofErr w:type="gramEnd"/>
      <w:r w:rsidR="002942DF" w:rsidRPr="00DC1B6E">
        <w:t xml:space="preserve"> to the borrower.</w:t>
      </w:r>
    </w:p>
    <w:p w14:paraId="188AE622" w14:textId="77777777" w:rsidR="00650FAB" w:rsidRDefault="00650FAB" w:rsidP="00DC1B6E">
      <w:pPr>
        <w:pStyle w:val="BodyText"/>
      </w:pPr>
    </w:p>
    <w:p w14:paraId="23AB57A8" w14:textId="7AA50B26" w:rsidR="00650FAB" w:rsidRDefault="00E96103" w:rsidP="00DC1B6E">
      <w:pPr>
        <w:pStyle w:val="ListParagraph"/>
        <w:numPr>
          <w:ilvl w:val="1"/>
          <w:numId w:val="2"/>
        </w:numPr>
        <w:tabs>
          <w:tab w:val="left" w:pos="1008"/>
        </w:tabs>
        <w:jc w:val="left"/>
        <w:rPr>
          <w:rFonts w:ascii="Symbol" w:hAnsi="Symbol"/>
          <w:sz w:val="24"/>
        </w:rPr>
      </w:pPr>
      <w:r>
        <w:rPr>
          <w:sz w:val="24"/>
        </w:rPr>
        <w:t>Applies</w:t>
      </w:r>
      <w:r>
        <w:rPr>
          <w:spacing w:val="-2"/>
          <w:sz w:val="24"/>
        </w:rPr>
        <w:t xml:space="preserve"> </w:t>
      </w:r>
      <w:r>
        <w:rPr>
          <w:sz w:val="24"/>
        </w:rPr>
        <w:t>to:</w:t>
      </w:r>
      <w:r>
        <w:rPr>
          <w:spacing w:val="-2"/>
          <w:sz w:val="24"/>
        </w:rPr>
        <w:t xml:space="preserve"> </w:t>
      </w:r>
      <w:r w:rsidR="004406BA">
        <w:rPr>
          <w:sz w:val="24"/>
        </w:rPr>
        <w:t>All entities subject to the IUCCC</w:t>
      </w:r>
    </w:p>
    <w:p w14:paraId="7F4E8F6F" w14:textId="48D9CA9D" w:rsidR="00650FAB" w:rsidRDefault="00E96103" w:rsidP="00DC1B6E">
      <w:pPr>
        <w:pStyle w:val="ListParagraph"/>
        <w:numPr>
          <w:ilvl w:val="1"/>
          <w:numId w:val="2"/>
        </w:numPr>
        <w:tabs>
          <w:tab w:val="left" w:pos="1008"/>
        </w:tabs>
        <w:jc w:val="left"/>
        <w:rPr>
          <w:rFonts w:ascii="Symbol" w:hAnsi="Symbol"/>
          <w:sz w:val="24"/>
        </w:rPr>
      </w:pPr>
      <w:r>
        <w:rPr>
          <w:sz w:val="24"/>
        </w:rPr>
        <w:t>Statutory</w:t>
      </w:r>
      <w:r>
        <w:rPr>
          <w:spacing w:val="-4"/>
          <w:sz w:val="24"/>
        </w:rPr>
        <w:t xml:space="preserve"> </w:t>
      </w:r>
      <w:r>
        <w:rPr>
          <w:sz w:val="24"/>
        </w:rPr>
        <w:t>references:</w:t>
      </w:r>
      <w:r>
        <w:rPr>
          <w:spacing w:val="1"/>
          <w:sz w:val="24"/>
        </w:rPr>
        <w:t xml:space="preserve"> </w:t>
      </w:r>
      <w:r>
        <w:rPr>
          <w:sz w:val="24"/>
        </w:rPr>
        <w:t>I.C.</w:t>
      </w:r>
      <w:r>
        <w:rPr>
          <w:spacing w:val="-3"/>
          <w:sz w:val="24"/>
        </w:rPr>
        <w:t xml:space="preserve"> </w:t>
      </w:r>
      <w:r>
        <w:rPr>
          <w:sz w:val="24"/>
        </w:rPr>
        <w:t>2</w:t>
      </w:r>
      <w:r w:rsidR="004406BA">
        <w:rPr>
          <w:sz w:val="24"/>
        </w:rPr>
        <w:t>4-4.5-</w:t>
      </w:r>
      <w:r w:rsidR="00CC586E">
        <w:rPr>
          <w:sz w:val="24"/>
        </w:rPr>
        <w:t>3-107</w:t>
      </w:r>
      <w:r w:rsidR="00345D6F">
        <w:rPr>
          <w:sz w:val="24"/>
        </w:rPr>
        <w:t>(3)</w:t>
      </w:r>
    </w:p>
    <w:p w14:paraId="03E19980" w14:textId="77777777" w:rsidR="00650FAB" w:rsidRDefault="00650FAB" w:rsidP="00DC1B6E">
      <w:pPr>
        <w:pStyle w:val="ListParagraph"/>
        <w:jc w:val="left"/>
        <w:rPr>
          <w:rFonts w:ascii="Symbol" w:hAnsi="Symbol"/>
          <w:sz w:val="24"/>
        </w:rPr>
        <w:sectPr w:rsidR="00650FAB">
          <w:type w:val="continuous"/>
          <w:pgSz w:w="12240" w:h="15840"/>
          <w:pgMar w:top="1080" w:right="720" w:bottom="280" w:left="720" w:header="720" w:footer="720" w:gutter="0"/>
          <w:cols w:space="720"/>
        </w:sectPr>
      </w:pPr>
    </w:p>
    <w:p w14:paraId="26477043" w14:textId="779B64CE" w:rsidR="00E8700F" w:rsidRPr="00E8700F" w:rsidRDefault="008C23BE" w:rsidP="00E8700F">
      <w:pPr>
        <w:pStyle w:val="BodyText"/>
        <w:numPr>
          <w:ilvl w:val="0"/>
          <w:numId w:val="2"/>
        </w:numPr>
      </w:pPr>
      <w:r>
        <w:lastRenderedPageBreak/>
        <w:t>Technical correction to prepayment provisions</w:t>
      </w:r>
      <w:r w:rsidR="005732C9">
        <w:t xml:space="preserve"> of the IUCCC. </w:t>
      </w:r>
      <w:r w:rsidR="00E8700F" w:rsidRPr="00E8700F">
        <w:t xml:space="preserve">SB 464 adds a </w:t>
      </w:r>
      <w:proofErr w:type="gramStart"/>
      <w:r w:rsidR="00E8700F" w:rsidRPr="00E8700F">
        <w:t>cross-reference</w:t>
      </w:r>
      <w:proofErr w:type="gramEnd"/>
      <w:r w:rsidR="00E8700F" w:rsidRPr="00E8700F">
        <w:t xml:space="preserve"> so the prepayment section properly points to the authorized </w:t>
      </w:r>
      <w:proofErr w:type="gramStart"/>
      <w:r w:rsidR="00E8700F" w:rsidRPr="00E8700F">
        <w:t>nonrefundable</w:t>
      </w:r>
      <w:proofErr w:type="gramEnd"/>
      <w:r w:rsidR="00E8700F" w:rsidRPr="00E8700F">
        <w:t xml:space="preserve"> prepaid finance charge provisions for supervised loans, not just for other consumer </w:t>
      </w:r>
      <w:proofErr w:type="gramStart"/>
      <w:r w:rsidR="00E8700F" w:rsidRPr="00E8700F">
        <w:t>loans—</w:t>
      </w:r>
      <w:proofErr w:type="gramEnd"/>
      <w:r w:rsidR="00E8700F" w:rsidRPr="00E8700F">
        <w:t xml:space="preserve">resolving an inconsistency that had persisted since prior updates. </w:t>
      </w:r>
    </w:p>
    <w:p w14:paraId="74A48B12" w14:textId="77777777" w:rsidR="00650FAB" w:rsidRDefault="00650FAB" w:rsidP="00DC1B6E">
      <w:pPr>
        <w:pStyle w:val="BodyText"/>
      </w:pPr>
    </w:p>
    <w:p w14:paraId="677839FC" w14:textId="21613A5A" w:rsidR="00650FAB" w:rsidRDefault="00E96103" w:rsidP="00DC1B6E">
      <w:pPr>
        <w:pStyle w:val="ListParagraph"/>
        <w:numPr>
          <w:ilvl w:val="1"/>
          <w:numId w:val="2"/>
        </w:numPr>
        <w:tabs>
          <w:tab w:val="left" w:pos="1008"/>
        </w:tabs>
        <w:jc w:val="left"/>
        <w:rPr>
          <w:rFonts w:ascii="Symbol" w:hAnsi="Symbol"/>
          <w:sz w:val="24"/>
        </w:rPr>
      </w:pPr>
      <w:r>
        <w:rPr>
          <w:sz w:val="24"/>
        </w:rPr>
        <w:t>Applies</w:t>
      </w:r>
      <w:r>
        <w:rPr>
          <w:spacing w:val="-1"/>
          <w:sz w:val="24"/>
        </w:rPr>
        <w:t xml:space="preserve"> </w:t>
      </w:r>
      <w:proofErr w:type="gramStart"/>
      <w:r>
        <w:rPr>
          <w:sz w:val="24"/>
        </w:rPr>
        <w:t>to:</w:t>
      </w:r>
      <w:proofErr w:type="gramEnd"/>
      <w:r>
        <w:rPr>
          <w:spacing w:val="-1"/>
          <w:sz w:val="24"/>
        </w:rPr>
        <w:t xml:space="preserve"> </w:t>
      </w:r>
      <w:r w:rsidR="001E2434">
        <w:rPr>
          <w:sz w:val="24"/>
        </w:rPr>
        <w:t>all entities subject to the IUCCC</w:t>
      </w:r>
    </w:p>
    <w:p w14:paraId="0A555516" w14:textId="1E794FE9" w:rsidR="00650FAB" w:rsidRPr="001B4B6B" w:rsidRDefault="00E96103" w:rsidP="00DC1B6E">
      <w:pPr>
        <w:pStyle w:val="ListParagraph"/>
        <w:numPr>
          <w:ilvl w:val="1"/>
          <w:numId w:val="2"/>
        </w:numPr>
        <w:tabs>
          <w:tab w:val="left" w:pos="1008"/>
        </w:tabs>
        <w:jc w:val="left"/>
        <w:rPr>
          <w:rFonts w:ascii="Symbol" w:hAnsi="Symbol"/>
          <w:sz w:val="24"/>
        </w:rPr>
      </w:pPr>
      <w:r>
        <w:rPr>
          <w:sz w:val="24"/>
        </w:rPr>
        <w:t>Statutory</w:t>
      </w:r>
      <w:r>
        <w:rPr>
          <w:spacing w:val="-3"/>
          <w:sz w:val="24"/>
        </w:rPr>
        <w:t xml:space="preserve"> </w:t>
      </w:r>
      <w:r>
        <w:rPr>
          <w:sz w:val="24"/>
        </w:rPr>
        <w:t>references: I</w:t>
      </w:r>
      <w:r w:rsidR="001E2434">
        <w:rPr>
          <w:sz w:val="24"/>
        </w:rPr>
        <w:t>.C. 24-4.5-</w:t>
      </w:r>
      <w:r w:rsidR="00CA0815">
        <w:rPr>
          <w:sz w:val="24"/>
        </w:rPr>
        <w:t>3-209</w:t>
      </w:r>
      <w:r w:rsidR="005F1FDE">
        <w:rPr>
          <w:sz w:val="24"/>
        </w:rPr>
        <w:t>(2)</w:t>
      </w:r>
    </w:p>
    <w:p w14:paraId="3BCC83BA" w14:textId="77777777" w:rsidR="001B4B6B" w:rsidRPr="00F81A0E" w:rsidRDefault="001B4B6B" w:rsidP="001B4B6B">
      <w:pPr>
        <w:pStyle w:val="ListParagraph"/>
        <w:tabs>
          <w:tab w:val="left" w:pos="1008"/>
        </w:tabs>
        <w:ind w:left="1008" w:firstLine="0"/>
        <w:jc w:val="left"/>
        <w:rPr>
          <w:rFonts w:ascii="Symbol" w:hAnsi="Symbol"/>
          <w:sz w:val="24"/>
        </w:rPr>
      </w:pPr>
    </w:p>
    <w:p w14:paraId="238E923A" w14:textId="394F8008" w:rsidR="00F81A0E" w:rsidRPr="00547CCC" w:rsidRDefault="00845939" w:rsidP="00F81A0E">
      <w:pPr>
        <w:pStyle w:val="ListParagraph"/>
        <w:numPr>
          <w:ilvl w:val="0"/>
          <w:numId w:val="2"/>
        </w:numPr>
        <w:tabs>
          <w:tab w:val="left" w:pos="1008"/>
        </w:tabs>
        <w:jc w:val="left"/>
        <w:rPr>
          <w:rFonts w:ascii="Symbol" w:hAnsi="Symbol"/>
          <w:sz w:val="24"/>
        </w:rPr>
      </w:pPr>
      <w:r>
        <w:rPr>
          <w:sz w:val="24"/>
        </w:rPr>
        <w:t xml:space="preserve">Credit </w:t>
      </w:r>
      <w:r w:rsidR="00EF7D4B">
        <w:rPr>
          <w:sz w:val="24"/>
        </w:rPr>
        <w:t xml:space="preserve">union audit standards. </w:t>
      </w:r>
      <w:r w:rsidR="00977D8A">
        <w:rPr>
          <w:sz w:val="24"/>
        </w:rPr>
        <w:t>The bill amends the Indiana Code provision governing audit requirements for credit unions</w:t>
      </w:r>
      <w:r w:rsidR="00285853">
        <w:rPr>
          <w:sz w:val="24"/>
        </w:rPr>
        <w:t xml:space="preserve">—requiring </w:t>
      </w:r>
      <w:r w:rsidR="00372351">
        <w:rPr>
          <w:sz w:val="24"/>
        </w:rPr>
        <w:t xml:space="preserve">credit </w:t>
      </w:r>
      <w:r w:rsidR="00285853">
        <w:rPr>
          <w:sz w:val="24"/>
        </w:rPr>
        <w:t xml:space="preserve">unions </w:t>
      </w:r>
      <w:r w:rsidR="00CC67C6">
        <w:rPr>
          <w:sz w:val="24"/>
        </w:rPr>
        <w:t>having assets over five million dollars ($5</w:t>
      </w:r>
      <w:r w:rsidR="00372351">
        <w:rPr>
          <w:sz w:val="24"/>
        </w:rPr>
        <w:t xml:space="preserve">,000,000) </w:t>
      </w:r>
      <w:r w:rsidR="00646990">
        <w:rPr>
          <w:sz w:val="24"/>
        </w:rPr>
        <w:t xml:space="preserve">to have an audit performed by an outside certified public accountant. </w:t>
      </w:r>
      <w:r w:rsidR="00547CCC">
        <w:rPr>
          <w:sz w:val="24"/>
        </w:rPr>
        <w:t>The bill also allows</w:t>
      </w:r>
      <w:r w:rsidR="00977D8A">
        <w:rPr>
          <w:sz w:val="24"/>
        </w:rPr>
        <w:t xml:space="preserve"> the DFI </w:t>
      </w:r>
      <w:r w:rsidR="00547CCC">
        <w:rPr>
          <w:sz w:val="24"/>
        </w:rPr>
        <w:t xml:space="preserve">to </w:t>
      </w:r>
      <w:r w:rsidR="00977D8A">
        <w:rPr>
          <w:sz w:val="24"/>
        </w:rPr>
        <w:t>establish</w:t>
      </w:r>
      <w:r w:rsidR="001B4B6B">
        <w:rPr>
          <w:sz w:val="24"/>
        </w:rPr>
        <w:t>—by policy or rule—accounting and auditing standards necessary to define the audit requirements.</w:t>
      </w:r>
    </w:p>
    <w:p w14:paraId="37A679A9" w14:textId="77777777" w:rsidR="00547CCC" w:rsidRPr="001B4B6B" w:rsidRDefault="00547CCC" w:rsidP="00547CCC">
      <w:pPr>
        <w:pStyle w:val="ListParagraph"/>
        <w:tabs>
          <w:tab w:val="left" w:pos="1008"/>
        </w:tabs>
        <w:ind w:firstLine="0"/>
        <w:jc w:val="left"/>
        <w:rPr>
          <w:rFonts w:ascii="Symbol" w:hAnsi="Symbol"/>
          <w:sz w:val="24"/>
        </w:rPr>
      </w:pPr>
    </w:p>
    <w:p w14:paraId="2F6B978E" w14:textId="445201E1" w:rsidR="001B4B6B" w:rsidRPr="00880932" w:rsidRDefault="00880932" w:rsidP="001B4B6B">
      <w:pPr>
        <w:pStyle w:val="ListParagraph"/>
        <w:numPr>
          <w:ilvl w:val="0"/>
          <w:numId w:val="3"/>
        </w:numPr>
        <w:tabs>
          <w:tab w:val="left" w:pos="1008"/>
        </w:tabs>
        <w:rPr>
          <w:rFonts w:ascii="Symbol" w:hAnsi="Symbol"/>
          <w:sz w:val="24"/>
        </w:rPr>
      </w:pPr>
      <w:r>
        <w:rPr>
          <w:sz w:val="24"/>
        </w:rPr>
        <w:t xml:space="preserve">Applies </w:t>
      </w:r>
      <w:proofErr w:type="gramStart"/>
      <w:r>
        <w:rPr>
          <w:sz w:val="24"/>
        </w:rPr>
        <w:t>to:</w:t>
      </w:r>
      <w:proofErr w:type="gramEnd"/>
      <w:r>
        <w:rPr>
          <w:sz w:val="24"/>
        </w:rPr>
        <w:t xml:space="preserve"> credit unions</w:t>
      </w:r>
    </w:p>
    <w:p w14:paraId="54D59CDD" w14:textId="24E32BDD" w:rsidR="00880932" w:rsidRPr="001B4B6B" w:rsidRDefault="00880932" w:rsidP="001B4B6B">
      <w:pPr>
        <w:pStyle w:val="ListParagraph"/>
        <w:numPr>
          <w:ilvl w:val="0"/>
          <w:numId w:val="3"/>
        </w:numPr>
        <w:tabs>
          <w:tab w:val="left" w:pos="1008"/>
        </w:tabs>
        <w:rPr>
          <w:rFonts w:ascii="Symbol" w:hAnsi="Symbol"/>
          <w:sz w:val="24"/>
        </w:rPr>
      </w:pPr>
      <w:r>
        <w:rPr>
          <w:sz w:val="24"/>
        </w:rPr>
        <w:t>Statutory references</w:t>
      </w:r>
      <w:r w:rsidR="005D0C2D">
        <w:rPr>
          <w:sz w:val="24"/>
        </w:rPr>
        <w:t xml:space="preserve">: </w:t>
      </w:r>
      <w:r w:rsidR="00AF7AE3">
        <w:rPr>
          <w:sz w:val="24"/>
        </w:rPr>
        <w:t>I.C. 28-7-1-18</w:t>
      </w:r>
    </w:p>
    <w:p w14:paraId="7C4A190D" w14:textId="77777777" w:rsidR="00DC1B6E" w:rsidRDefault="00DC1B6E" w:rsidP="00DC1B6E">
      <w:pPr>
        <w:pStyle w:val="ListParagraph"/>
        <w:tabs>
          <w:tab w:val="left" w:pos="1008"/>
        </w:tabs>
        <w:ind w:left="1008" w:firstLine="0"/>
        <w:jc w:val="left"/>
        <w:rPr>
          <w:rFonts w:ascii="Symbol" w:hAnsi="Symbol"/>
          <w:sz w:val="24"/>
        </w:rPr>
      </w:pPr>
    </w:p>
    <w:p w14:paraId="06ADECFC" w14:textId="77777777" w:rsidR="00650FAB" w:rsidRDefault="00E96103" w:rsidP="00DC1B6E">
      <w:pPr>
        <w:pStyle w:val="Heading1"/>
        <w:ind w:left="648"/>
        <w:rPr>
          <w:u w:val="none"/>
        </w:rPr>
      </w:pPr>
      <w:r>
        <w:t>Other</w:t>
      </w:r>
      <w:r>
        <w:rPr>
          <w:spacing w:val="-2"/>
        </w:rPr>
        <w:t xml:space="preserve"> </w:t>
      </w:r>
      <w:r>
        <w:t xml:space="preserve">Bills of </w:t>
      </w:r>
      <w:r>
        <w:rPr>
          <w:spacing w:val="-2"/>
        </w:rPr>
        <w:t>Interest</w:t>
      </w:r>
    </w:p>
    <w:p w14:paraId="596937AB" w14:textId="6190DF08" w:rsidR="00650FAB" w:rsidRPr="003C4197" w:rsidRDefault="00E96103" w:rsidP="007A6524">
      <w:pPr>
        <w:pStyle w:val="ListParagraph"/>
        <w:numPr>
          <w:ilvl w:val="0"/>
          <w:numId w:val="4"/>
        </w:numPr>
        <w:tabs>
          <w:tab w:val="left" w:pos="648"/>
        </w:tabs>
        <w:ind w:right="250"/>
        <w:rPr>
          <w:sz w:val="24"/>
          <w:szCs w:val="24"/>
        </w:rPr>
      </w:pPr>
      <w:hyperlink r:id="rId9">
        <w:r w:rsidRPr="003C4197">
          <w:rPr>
            <w:sz w:val="24"/>
            <w:szCs w:val="24"/>
          </w:rPr>
          <w:t xml:space="preserve">HEA </w:t>
        </w:r>
        <w:r w:rsidR="00F21CC6" w:rsidRPr="003C4197">
          <w:rPr>
            <w:sz w:val="24"/>
            <w:szCs w:val="24"/>
          </w:rPr>
          <w:t>1125:</w:t>
        </w:r>
      </w:hyperlink>
      <w:r w:rsidR="00F21CC6" w:rsidRPr="003C4197">
        <w:rPr>
          <w:sz w:val="24"/>
          <w:szCs w:val="24"/>
        </w:rPr>
        <w:t xml:space="preserve"> this bill </w:t>
      </w:r>
      <w:r w:rsidR="00B7546B" w:rsidRPr="003C4197">
        <w:rPr>
          <w:sz w:val="24"/>
          <w:szCs w:val="24"/>
        </w:rPr>
        <w:t xml:space="preserve">does three things—establishes the </w:t>
      </w:r>
      <w:r w:rsidR="001816AB" w:rsidRPr="003C4197">
        <w:rPr>
          <w:sz w:val="24"/>
          <w:szCs w:val="24"/>
        </w:rPr>
        <w:t>Indiana Earned Wage Access Act, increases certain non-refundable prepaid finance charges</w:t>
      </w:r>
      <w:r w:rsidR="00ED6A73" w:rsidRPr="003C4197">
        <w:rPr>
          <w:sz w:val="24"/>
          <w:szCs w:val="24"/>
        </w:rPr>
        <w:t xml:space="preserve"> that can be received by mortgage companies, and provides clarification</w:t>
      </w:r>
      <w:r w:rsidR="00E84D1B" w:rsidRPr="003C4197">
        <w:rPr>
          <w:sz w:val="24"/>
          <w:szCs w:val="24"/>
        </w:rPr>
        <w:t>s for credit union mergers</w:t>
      </w:r>
      <w:r w:rsidRPr="003C4197">
        <w:rPr>
          <w:sz w:val="24"/>
          <w:szCs w:val="24"/>
        </w:rPr>
        <w:t>.</w:t>
      </w:r>
      <w:r w:rsidRPr="003C4197">
        <w:rPr>
          <w:spacing w:val="40"/>
          <w:sz w:val="24"/>
          <w:szCs w:val="24"/>
        </w:rPr>
        <w:t xml:space="preserve"> </w:t>
      </w:r>
    </w:p>
    <w:p w14:paraId="359AF361" w14:textId="0999651A" w:rsidR="003C4197" w:rsidRDefault="00F20A75" w:rsidP="003C4197">
      <w:pPr>
        <w:pStyle w:val="ListParagraph"/>
        <w:numPr>
          <w:ilvl w:val="0"/>
          <w:numId w:val="5"/>
        </w:numPr>
        <w:tabs>
          <w:tab w:val="left" w:pos="648"/>
        </w:tabs>
        <w:ind w:right="250"/>
        <w:rPr>
          <w:sz w:val="24"/>
          <w:szCs w:val="24"/>
        </w:rPr>
      </w:pPr>
      <w:r w:rsidRPr="003C4197">
        <w:rPr>
          <w:sz w:val="24"/>
          <w:szCs w:val="24"/>
        </w:rPr>
        <w:t xml:space="preserve">Indiana Earned Wage Access Act: establishes licensing, supervision, and enforcement </w:t>
      </w:r>
      <w:r w:rsidR="00820E2B" w:rsidRPr="003C4197">
        <w:rPr>
          <w:sz w:val="24"/>
          <w:szCs w:val="24"/>
        </w:rPr>
        <w:t>for earned wage access providers</w:t>
      </w:r>
      <w:r w:rsidR="009F4705" w:rsidRPr="003C4197">
        <w:rPr>
          <w:sz w:val="24"/>
          <w:szCs w:val="24"/>
        </w:rPr>
        <w:t xml:space="preserve"> offering employer-integrated or consumer-directed services to Indiana consumers. </w:t>
      </w:r>
      <w:r w:rsidR="00435513" w:rsidRPr="003C4197">
        <w:rPr>
          <w:sz w:val="24"/>
          <w:szCs w:val="24"/>
        </w:rPr>
        <w:t>The bill sets forth provisions that address the following: (1) Definitions of terms. (2) Exemptions from the Act's requirements. (3) The department's supervisory authority under the Act. (4) The licensing of providers of earned wage access services. (5) The acquisition of control of a licensee. (6) Reporting and record keeping requirements for licensees. (7) Duties of providers under the Act. (8) Prohibited acts by providers. (9) The department's enforcement authority under the Act. (10) Criminal liability for certain prohibited acts. (11) Statutory construction of the Act's provisions.</w:t>
      </w:r>
    </w:p>
    <w:p w14:paraId="75251364" w14:textId="77777777" w:rsidR="00185A64" w:rsidRPr="003C4197" w:rsidRDefault="00185A64" w:rsidP="00185A64">
      <w:pPr>
        <w:pStyle w:val="ListParagraph"/>
        <w:tabs>
          <w:tab w:val="left" w:pos="648"/>
        </w:tabs>
        <w:ind w:left="1080" w:right="250" w:firstLine="0"/>
        <w:rPr>
          <w:sz w:val="24"/>
          <w:szCs w:val="24"/>
        </w:rPr>
      </w:pPr>
    </w:p>
    <w:p w14:paraId="0B80AC22" w14:textId="1EAA34A9" w:rsidR="003C4197" w:rsidRDefault="00185A64" w:rsidP="00185A64">
      <w:pPr>
        <w:pStyle w:val="ListParagraph"/>
        <w:numPr>
          <w:ilvl w:val="0"/>
          <w:numId w:val="5"/>
        </w:numPr>
        <w:tabs>
          <w:tab w:val="left" w:pos="648"/>
        </w:tabs>
        <w:ind w:right="250"/>
        <w:rPr>
          <w:sz w:val="24"/>
        </w:rPr>
      </w:pPr>
      <w:r>
        <w:rPr>
          <w:sz w:val="24"/>
        </w:rPr>
        <w:t xml:space="preserve">Credit Union Merger. </w:t>
      </w:r>
      <w:r w:rsidR="00002041" w:rsidRPr="00002041">
        <w:rPr>
          <w:sz w:val="24"/>
        </w:rPr>
        <w:t>The bill provides that: (1) if a joint agreement of merger is approved by the Department of Financial Institutions, any credit union whose existence will terminate as a result of the merger</w:t>
      </w:r>
      <w:r w:rsidR="00002041">
        <w:rPr>
          <w:sz w:val="24"/>
        </w:rPr>
        <w:t xml:space="preserve"> s</w:t>
      </w:r>
      <w:r w:rsidR="00002041" w:rsidRPr="00002041">
        <w:rPr>
          <w:sz w:val="24"/>
        </w:rPr>
        <w:t>hall</w:t>
      </w:r>
      <w:r w:rsidR="00002041">
        <w:rPr>
          <w:sz w:val="24"/>
        </w:rPr>
        <w:t xml:space="preserve"> </w:t>
      </w:r>
      <w:r w:rsidR="00002041" w:rsidRPr="00002041">
        <w:rPr>
          <w:sz w:val="24"/>
        </w:rPr>
        <w:t>submit the joint agreement to a vote of its shareholders as directed by the resolution of the board of directors; and (2) a majority of shareholders voting may approve the joint agreement.</w:t>
      </w:r>
    </w:p>
    <w:p w14:paraId="25701C5F" w14:textId="77777777" w:rsidR="00CD7717" w:rsidRPr="00CD7717" w:rsidRDefault="00CD7717" w:rsidP="00CD7717">
      <w:pPr>
        <w:pStyle w:val="ListParagraph"/>
        <w:rPr>
          <w:sz w:val="24"/>
        </w:rPr>
      </w:pPr>
    </w:p>
    <w:p w14:paraId="349724EB" w14:textId="3E898340" w:rsidR="00CD7717" w:rsidRPr="00E41E27" w:rsidRDefault="0027088B" w:rsidP="00185A64">
      <w:pPr>
        <w:pStyle w:val="ListParagraph"/>
        <w:numPr>
          <w:ilvl w:val="0"/>
          <w:numId w:val="5"/>
        </w:numPr>
        <w:tabs>
          <w:tab w:val="left" w:pos="648"/>
        </w:tabs>
        <w:ind w:right="250"/>
        <w:rPr>
          <w:sz w:val="24"/>
          <w:szCs w:val="24"/>
        </w:rPr>
      </w:pPr>
      <w:r w:rsidRPr="00E41E27">
        <w:rPr>
          <w:sz w:val="24"/>
          <w:szCs w:val="24"/>
        </w:rPr>
        <w:t>Prepaid Finance Charges. The bill provides that under certain circumstances, a lender may contract for and receive a nonrefundable prepaid finance charge of 3% (instead of 2%, under current law) of the loan amount on a loan that is secured by an interest in land and is not made under a revolving loan account. It provides that under certain circumstances, a lender may contract for and receive a nonrefundable prepaid finance charge of 3% (instead of 2%, under current law) of the line of credit on a loan that is secured by an interest in land and is made under a revolving loan account.</w:t>
      </w:r>
    </w:p>
    <w:p w14:paraId="348976D6" w14:textId="77777777" w:rsidR="00650FAB" w:rsidRDefault="00650FAB" w:rsidP="00DC1B6E">
      <w:pPr>
        <w:pStyle w:val="BodyText"/>
      </w:pPr>
    </w:p>
    <w:p w14:paraId="4D1C23A2" w14:textId="77777777" w:rsidR="00650FAB" w:rsidRDefault="00650FAB" w:rsidP="00DC1B6E">
      <w:pPr>
        <w:pStyle w:val="BodyText"/>
        <w:rPr>
          <w:sz w:val="22"/>
        </w:rPr>
      </w:pPr>
    </w:p>
    <w:p w14:paraId="4B8FCED9" w14:textId="77777777" w:rsidR="00650FAB" w:rsidRDefault="00E96103">
      <w:pPr>
        <w:ind w:left="2"/>
        <w:jc w:val="center"/>
      </w:pPr>
      <w:r>
        <w:rPr>
          <w:spacing w:val="-10"/>
        </w:rPr>
        <w:t>2</w:t>
      </w:r>
    </w:p>
    <w:sectPr w:rsidR="00650FAB">
      <w:pgSz w:w="12240" w:h="15840"/>
      <w:pgMar w:top="9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27786"/>
    <w:multiLevelType w:val="hybridMultilevel"/>
    <w:tmpl w:val="3CF26D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74474F8"/>
    <w:multiLevelType w:val="hybridMultilevel"/>
    <w:tmpl w:val="2E2EE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44393C"/>
    <w:multiLevelType w:val="hybridMultilevel"/>
    <w:tmpl w:val="F20C7132"/>
    <w:lvl w:ilvl="0" w:tplc="1D6048CA">
      <w:start w:val="1"/>
      <w:numFmt w:val="decimal"/>
      <w:lvlText w:val="%1."/>
      <w:lvlJc w:val="left"/>
      <w:pPr>
        <w:ind w:left="648" w:hanging="361"/>
      </w:pPr>
      <w:rPr>
        <w:rFonts w:hint="default"/>
        <w:spacing w:val="0"/>
        <w:w w:val="100"/>
        <w:lang w:val="en-US" w:eastAsia="en-US" w:bidi="ar-SA"/>
      </w:rPr>
    </w:lvl>
    <w:lvl w:ilvl="1" w:tplc="DD64FD1A">
      <w:numFmt w:val="bullet"/>
      <w:lvlText w:val=""/>
      <w:lvlJc w:val="left"/>
      <w:pPr>
        <w:ind w:left="1008" w:hanging="360"/>
      </w:pPr>
      <w:rPr>
        <w:rFonts w:ascii="Symbol" w:eastAsia="Symbol" w:hAnsi="Symbol" w:cs="Symbol" w:hint="default"/>
        <w:spacing w:val="0"/>
        <w:w w:val="100"/>
        <w:lang w:val="en-US" w:eastAsia="en-US" w:bidi="ar-SA"/>
      </w:rPr>
    </w:lvl>
    <w:lvl w:ilvl="2" w:tplc="93E2D6BA">
      <w:numFmt w:val="bullet"/>
      <w:lvlText w:val="•"/>
      <w:lvlJc w:val="left"/>
      <w:pPr>
        <w:ind w:left="2088" w:hanging="360"/>
      </w:pPr>
      <w:rPr>
        <w:rFonts w:hint="default"/>
        <w:lang w:val="en-US" w:eastAsia="en-US" w:bidi="ar-SA"/>
      </w:rPr>
    </w:lvl>
    <w:lvl w:ilvl="3" w:tplc="577A6EC8">
      <w:numFmt w:val="bullet"/>
      <w:lvlText w:val="•"/>
      <w:lvlJc w:val="left"/>
      <w:pPr>
        <w:ind w:left="3177" w:hanging="360"/>
      </w:pPr>
      <w:rPr>
        <w:rFonts w:hint="default"/>
        <w:lang w:val="en-US" w:eastAsia="en-US" w:bidi="ar-SA"/>
      </w:rPr>
    </w:lvl>
    <w:lvl w:ilvl="4" w:tplc="4F0CD6F4">
      <w:numFmt w:val="bullet"/>
      <w:lvlText w:val="•"/>
      <w:lvlJc w:val="left"/>
      <w:pPr>
        <w:ind w:left="4266" w:hanging="360"/>
      </w:pPr>
      <w:rPr>
        <w:rFonts w:hint="default"/>
        <w:lang w:val="en-US" w:eastAsia="en-US" w:bidi="ar-SA"/>
      </w:rPr>
    </w:lvl>
    <w:lvl w:ilvl="5" w:tplc="04FEC4CC">
      <w:numFmt w:val="bullet"/>
      <w:lvlText w:val="•"/>
      <w:lvlJc w:val="left"/>
      <w:pPr>
        <w:ind w:left="5355" w:hanging="360"/>
      </w:pPr>
      <w:rPr>
        <w:rFonts w:hint="default"/>
        <w:lang w:val="en-US" w:eastAsia="en-US" w:bidi="ar-SA"/>
      </w:rPr>
    </w:lvl>
    <w:lvl w:ilvl="6" w:tplc="3AAE6CF0">
      <w:numFmt w:val="bullet"/>
      <w:lvlText w:val="•"/>
      <w:lvlJc w:val="left"/>
      <w:pPr>
        <w:ind w:left="6444" w:hanging="360"/>
      </w:pPr>
      <w:rPr>
        <w:rFonts w:hint="default"/>
        <w:lang w:val="en-US" w:eastAsia="en-US" w:bidi="ar-SA"/>
      </w:rPr>
    </w:lvl>
    <w:lvl w:ilvl="7" w:tplc="D2965C4E">
      <w:numFmt w:val="bullet"/>
      <w:lvlText w:val="•"/>
      <w:lvlJc w:val="left"/>
      <w:pPr>
        <w:ind w:left="7533" w:hanging="360"/>
      </w:pPr>
      <w:rPr>
        <w:rFonts w:hint="default"/>
        <w:lang w:val="en-US" w:eastAsia="en-US" w:bidi="ar-SA"/>
      </w:rPr>
    </w:lvl>
    <w:lvl w:ilvl="8" w:tplc="74F20C58">
      <w:numFmt w:val="bullet"/>
      <w:lvlText w:val="•"/>
      <w:lvlJc w:val="left"/>
      <w:pPr>
        <w:ind w:left="8622" w:hanging="360"/>
      </w:pPr>
      <w:rPr>
        <w:rFonts w:hint="default"/>
        <w:lang w:val="en-US" w:eastAsia="en-US" w:bidi="ar-SA"/>
      </w:rPr>
    </w:lvl>
  </w:abstractNum>
  <w:abstractNum w:abstractNumId="3" w15:restartNumberingAfterBreak="0">
    <w:nsid w:val="746A4F95"/>
    <w:multiLevelType w:val="hybridMultilevel"/>
    <w:tmpl w:val="386E629A"/>
    <w:lvl w:ilvl="0" w:tplc="04090001">
      <w:start w:val="1"/>
      <w:numFmt w:val="bullet"/>
      <w:lvlText w:val=""/>
      <w:lvlJc w:val="left"/>
      <w:pPr>
        <w:ind w:left="648" w:hanging="361"/>
      </w:pPr>
      <w:rPr>
        <w:rFonts w:ascii="Symbol" w:hAnsi="Symbol" w:hint="default"/>
        <w:b w:val="0"/>
        <w:bCs w:val="0"/>
        <w:i w:val="0"/>
        <w:iCs w:val="0"/>
        <w:spacing w:val="0"/>
        <w:w w:val="100"/>
        <w:sz w:val="24"/>
        <w:szCs w:val="24"/>
        <w:lang w:val="en-US" w:eastAsia="en-US" w:bidi="ar-SA"/>
      </w:rPr>
    </w:lvl>
    <w:lvl w:ilvl="1" w:tplc="D4D8DE18">
      <w:numFmt w:val="bullet"/>
      <w:lvlText w:val="•"/>
      <w:lvlJc w:val="left"/>
      <w:pPr>
        <w:ind w:left="1656" w:hanging="361"/>
      </w:pPr>
      <w:rPr>
        <w:rFonts w:hint="default"/>
        <w:lang w:val="en-US" w:eastAsia="en-US" w:bidi="ar-SA"/>
      </w:rPr>
    </w:lvl>
    <w:lvl w:ilvl="2" w:tplc="E250C192">
      <w:numFmt w:val="bullet"/>
      <w:lvlText w:val="•"/>
      <w:lvlJc w:val="left"/>
      <w:pPr>
        <w:ind w:left="2672" w:hanging="361"/>
      </w:pPr>
      <w:rPr>
        <w:rFonts w:hint="default"/>
        <w:lang w:val="en-US" w:eastAsia="en-US" w:bidi="ar-SA"/>
      </w:rPr>
    </w:lvl>
    <w:lvl w:ilvl="3" w:tplc="7128ADD2">
      <w:numFmt w:val="bullet"/>
      <w:lvlText w:val="•"/>
      <w:lvlJc w:val="left"/>
      <w:pPr>
        <w:ind w:left="3688" w:hanging="361"/>
      </w:pPr>
      <w:rPr>
        <w:rFonts w:hint="default"/>
        <w:lang w:val="en-US" w:eastAsia="en-US" w:bidi="ar-SA"/>
      </w:rPr>
    </w:lvl>
    <w:lvl w:ilvl="4" w:tplc="E00A951E">
      <w:numFmt w:val="bullet"/>
      <w:lvlText w:val="•"/>
      <w:lvlJc w:val="left"/>
      <w:pPr>
        <w:ind w:left="4704" w:hanging="361"/>
      </w:pPr>
      <w:rPr>
        <w:rFonts w:hint="default"/>
        <w:lang w:val="en-US" w:eastAsia="en-US" w:bidi="ar-SA"/>
      </w:rPr>
    </w:lvl>
    <w:lvl w:ilvl="5" w:tplc="0636A5E2">
      <w:numFmt w:val="bullet"/>
      <w:lvlText w:val="•"/>
      <w:lvlJc w:val="left"/>
      <w:pPr>
        <w:ind w:left="5720" w:hanging="361"/>
      </w:pPr>
      <w:rPr>
        <w:rFonts w:hint="default"/>
        <w:lang w:val="en-US" w:eastAsia="en-US" w:bidi="ar-SA"/>
      </w:rPr>
    </w:lvl>
    <w:lvl w:ilvl="6" w:tplc="558AFD88">
      <w:numFmt w:val="bullet"/>
      <w:lvlText w:val="•"/>
      <w:lvlJc w:val="left"/>
      <w:pPr>
        <w:ind w:left="6736" w:hanging="361"/>
      </w:pPr>
      <w:rPr>
        <w:rFonts w:hint="default"/>
        <w:lang w:val="en-US" w:eastAsia="en-US" w:bidi="ar-SA"/>
      </w:rPr>
    </w:lvl>
    <w:lvl w:ilvl="7" w:tplc="E26CE9CE">
      <w:numFmt w:val="bullet"/>
      <w:lvlText w:val="•"/>
      <w:lvlJc w:val="left"/>
      <w:pPr>
        <w:ind w:left="7752" w:hanging="361"/>
      </w:pPr>
      <w:rPr>
        <w:rFonts w:hint="default"/>
        <w:lang w:val="en-US" w:eastAsia="en-US" w:bidi="ar-SA"/>
      </w:rPr>
    </w:lvl>
    <w:lvl w:ilvl="8" w:tplc="28B864A6">
      <w:numFmt w:val="bullet"/>
      <w:lvlText w:val="•"/>
      <w:lvlJc w:val="left"/>
      <w:pPr>
        <w:ind w:left="8768" w:hanging="361"/>
      </w:pPr>
      <w:rPr>
        <w:rFonts w:hint="default"/>
        <w:lang w:val="en-US" w:eastAsia="en-US" w:bidi="ar-SA"/>
      </w:rPr>
    </w:lvl>
  </w:abstractNum>
  <w:abstractNum w:abstractNumId="4" w15:restartNumberingAfterBreak="0">
    <w:nsid w:val="7AC360B5"/>
    <w:multiLevelType w:val="hybridMultilevel"/>
    <w:tmpl w:val="81040AF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21330036">
    <w:abstractNumId w:val="3"/>
  </w:num>
  <w:num w:numId="2" w16cid:durableId="1594046333">
    <w:abstractNumId w:val="2"/>
  </w:num>
  <w:num w:numId="3" w16cid:durableId="2128039046">
    <w:abstractNumId w:val="4"/>
  </w:num>
  <w:num w:numId="4" w16cid:durableId="1550723110">
    <w:abstractNumId w:val="1"/>
  </w:num>
  <w:num w:numId="5" w16cid:durableId="197880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1MjUztzAyNDKyMDBS0lEKTi0uzszPAykwrAUAxHZBgywAAAA="/>
  </w:docVars>
  <w:rsids>
    <w:rsidRoot w:val="00650FAB"/>
    <w:rsid w:val="00002041"/>
    <w:rsid w:val="000A31B1"/>
    <w:rsid w:val="001816AB"/>
    <w:rsid w:val="00185A64"/>
    <w:rsid w:val="001B4B6B"/>
    <w:rsid w:val="001C0F08"/>
    <w:rsid w:val="001E2434"/>
    <w:rsid w:val="0027088B"/>
    <w:rsid w:val="00285853"/>
    <w:rsid w:val="002942DF"/>
    <w:rsid w:val="002A3AED"/>
    <w:rsid w:val="003026F0"/>
    <w:rsid w:val="00345D6F"/>
    <w:rsid w:val="00372351"/>
    <w:rsid w:val="003C4197"/>
    <w:rsid w:val="003D58C1"/>
    <w:rsid w:val="003F6E06"/>
    <w:rsid w:val="00432B6D"/>
    <w:rsid w:val="00435513"/>
    <w:rsid w:val="004406BA"/>
    <w:rsid w:val="00476220"/>
    <w:rsid w:val="004A200B"/>
    <w:rsid w:val="004D2BDD"/>
    <w:rsid w:val="00547CCC"/>
    <w:rsid w:val="005623CF"/>
    <w:rsid w:val="005732C9"/>
    <w:rsid w:val="005D0C2D"/>
    <w:rsid w:val="005D4349"/>
    <w:rsid w:val="005F1FDE"/>
    <w:rsid w:val="006358B0"/>
    <w:rsid w:val="00646990"/>
    <w:rsid w:val="00650FAB"/>
    <w:rsid w:val="00694141"/>
    <w:rsid w:val="00771D3F"/>
    <w:rsid w:val="007A6524"/>
    <w:rsid w:val="00820E2B"/>
    <w:rsid w:val="00832027"/>
    <w:rsid w:val="00845939"/>
    <w:rsid w:val="00880932"/>
    <w:rsid w:val="008C23BE"/>
    <w:rsid w:val="008D540B"/>
    <w:rsid w:val="00977D8A"/>
    <w:rsid w:val="00981CB4"/>
    <w:rsid w:val="009C14CB"/>
    <w:rsid w:val="009D476A"/>
    <w:rsid w:val="009F4705"/>
    <w:rsid w:val="00A0099E"/>
    <w:rsid w:val="00AA275B"/>
    <w:rsid w:val="00AF7AE3"/>
    <w:rsid w:val="00B56BF1"/>
    <w:rsid w:val="00B7546B"/>
    <w:rsid w:val="00B87463"/>
    <w:rsid w:val="00C00D50"/>
    <w:rsid w:val="00CA0815"/>
    <w:rsid w:val="00CC586E"/>
    <w:rsid w:val="00CC67C6"/>
    <w:rsid w:val="00CD7717"/>
    <w:rsid w:val="00CF1522"/>
    <w:rsid w:val="00DC1B6E"/>
    <w:rsid w:val="00E41E27"/>
    <w:rsid w:val="00E84D1B"/>
    <w:rsid w:val="00E8700F"/>
    <w:rsid w:val="00E96103"/>
    <w:rsid w:val="00ED6A73"/>
    <w:rsid w:val="00EF7D4B"/>
    <w:rsid w:val="00F20A75"/>
    <w:rsid w:val="00F21CC6"/>
    <w:rsid w:val="00F22A4A"/>
    <w:rsid w:val="00F81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564E"/>
  <w15:docId w15:val="{746903DE-BE03-4245-AC32-08EA212F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7"/>
      <w:jc w:val="both"/>
      <w:outlineLvl w:val="0"/>
    </w:pPr>
    <w:rPr>
      <w:b/>
      <w:bCs/>
      <w:sz w:val="24"/>
      <w:szCs w:val="24"/>
      <w:u w:val="single" w:color="000000"/>
    </w:rPr>
  </w:style>
  <w:style w:type="paragraph" w:styleId="Heading3">
    <w:name w:val="heading 3"/>
    <w:basedOn w:val="Normal"/>
    <w:next w:val="Normal"/>
    <w:link w:val="Heading3Char"/>
    <w:uiPriority w:val="9"/>
    <w:semiHidden/>
    <w:unhideWhenUsed/>
    <w:qFormat/>
    <w:rsid w:val="002942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48" w:hanging="361"/>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2942DF"/>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942DF"/>
    <w:rPr>
      <w:b/>
      <w:bCs/>
    </w:rPr>
  </w:style>
  <w:style w:type="paragraph" w:styleId="NormalWeb">
    <w:name w:val="Normal (Web)"/>
    <w:basedOn w:val="Normal"/>
    <w:uiPriority w:val="99"/>
    <w:semiHidden/>
    <w:unhideWhenUsed/>
    <w:rsid w:val="002942DF"/>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ga.in.gov/legislative/2025/bills" TargetMode="External"/><Relationship Id="rId3" Type="http://schemas.openxmlformats.org/officeDocument/2006/relationships/settings" Target="settings.xml"/><Relationship Id="rId7" Type="http://schemas.openxmlformats.org/officeDocument/2006/relationships/hyperlink" Target="http://www.in.gov/d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ga.in.gov/legislative/2024/bills/house/1084/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Smith</dc:creator>
  <cp:lastModifiedBy>Miller, Konnor L</cp:lastModifiedBy>
  <cp:revision>2</cp:revision>
  <dcterms:created xsi:type="dcterms:W3CDTF">2026-08-06T21:35:00Z</dcterms:created>
  <dcterms:modified xsi:type="dcterms:W3CDTF">2026-08-06T21:35:00Z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2024-04-23T00:00:00Z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y fmtid="{D5CDD505-2E9C-101B-9397-08002B2CF9AE}" pid="6" name="GrammarlyDocumentId">
    <vt:lpwstr>3d38f8a3-9707-45df-8272-71177c426b3a</vt:lpwstr>
  </property>
</Properties>
</file>